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oter11.xml" ContentType="application/vnd.openxmlformats-officedocument.wordprocessingml.footer+xml"/>
  <Override PartName="/word/footer8.xml" ContentType="application/vnd.openxmlformats-officedocument.wordprocessingml.footer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footer5.xml" ContentType="application/vnd.openxmlformats-officedocument.wordprocessingml.footer+xml"/>
  <Override PartName="/word/styles.xml" ContentType="application/vnd.openxmlformats-officedocument.wordprocessingml.styles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footer9.xml" ContentType="application/vnd.openxmlformats-officedocument.wordprocessingml.footer+xml"/>
  <Override PartName="/word/footer7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footer4.xml" ContentType="application/vnd.openxmlformats-officedocument.wordprocessingml.foot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jc w:val="right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№1 </w:t>
        <w:br/>
        <w:t>к Техническ</w:t>
      </w:r>
      <w:r>
        <w:rPr>
          <w:rFonts w:ascii="Times New Roman" w:hAnsi="Times New Roman"/>
          <w:bCs/>
          <w:sz w:val="24"/>
          <w:szCs w:val="24"/>
        </w:rPr>
        <w:t>им требованиям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sectPr>
          <w:footerReference w:type="default" r:id="rId2"/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Требования к оформлению и составлению документации по ценообразованию </w:t>
      </w:r>
    </w:p>
    <w:p>
      <w:pPr>
        <w:pStyle w:val="TOC1"/>
        <w:rPr/>
      </w:pPr>
      <w:r>
        <w:rPr/>
        <w:t>СОДЕРЖАНИЕ:</w:t>
      </w:r>
    </w:p>
    <w:p>
      <w:pPr>
        <w:pStyle w:val="TOC1"/>
        <w:rPr/>
      </w:pPr>
      <w:r>
        <w:rPr/>
        <w:t xml:space="preserve"> </w:t>
      </w:r>
    </w:p>
    <w:tbl>
      <w:tblPr>
        <w:tblStyle w:val="affff6"/>
        <w:tblW w:w="928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59"/>
        <w:gridCol w:w="7886"/>
        <w:gridCol w:w="740"/>
      </w:tblGrid>
      <w:tr>
        <w:trPr/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п/п</w:t>
            </w:r>
          </w:p>
        </w:tc>
        <w:tc>
          <w:tcPr>
            <w:tcW w:w="78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 xml:space="preserve">Наименование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</w:tr>
      <w:tr>
        <w:trPr>
          <w:trHeight w:val="739" w:hRule="atLeas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1.</w:t>
            </w:r>
          </w:p>
        </w:tc>
        <w:tc>
          <w:tcPr>
            <w:tcW w:w="78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00" w:after="0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lang w:val="ru-RU" w:eastAsia="ru-RU" w:bidi="ar-SA"/>
              </w:rPr>
              <w:t xml:space="preserve">Требования к оформлению и составлению сметной документации на выполнение работ, являющихся градостроительной деятельностью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100" w:after="0"/>
              <w:jc w:val="center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3</w:t>
            </w:r>
          </w:p>
        </w:tc>
      </w:tr>
      <w:tr>
        <w:trPr>
          <w:trHeight w:val="369" w:hRule="atLeas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2.</w:t>
            </w:r>
          </w:p>
        </w:tc>
        <w:tc>
          <w:tcPr>
            <w:tcW w:w="78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00" w:after="0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val="ru-RU" w:eastAsia="ru-RU" w:bidi="ar-SA"/>
              </w:rPr>
              <w:t xml:space="preserve">Приложение 1.1: </w:t>
            </w:r>
            <w:r>
              <w:rPr>
                <w:rFonts w:eastAsia="Times New Roman" w:cs="Times New Roman" w:ascii="Times New Roman" w:hAnsi="Times New Roman"/>
                <w:bCs/>
                <w:kern w:val="0"/>
                <w:lang w:val="ru-RU" w:eastAsia="ru-RU" w:bidi="ar-SA"/>
              </w:rPr>
              <w:t>Образец сметы договора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100" w:after="0"/>
              <w:jc w:val="center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8</w:t>
            </w:r>
          </w:p>
        </w:tc>
      </w:tr>
      <w:tr>
        <w:trPr/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3.</w:t>
            </w:r>
          </w:p>
        </w:tc>
        <w:tc>
          <w:tcPr>
            <w:tcW w:w="78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00" w:after="0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val="ru-RU" w:eastAsia="ru-RU" w:bidi="ar-SA"/>
              </w:rPr>
              <w:t xml:space="preserve">Приложение 1.2: </w:t>
            </w:r>
            <w:r>
              <w:rPr>
                <w:rFonts w:eastAsia="Times New Roman" w:cs="Times New Roman" w:ascii="Times New Roman" w:hAnsi="Times New Roman"/>
                <w:bCs/>
                <w:kern w:val="0"/>
                <w:lang w:val="ru-RU" w:eastAsia="ru-RU" w:bidi="ar-SA"/>
              </w:rPr>
              <w:t>Ведомость объемов конструктивных решений (элементов) и комплексов (видов) работ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100" w:after="0"/>
              <w:jc w:val="center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9</w:t>
            </w:r>
          </w:p>
        </w:tc>
      </w:tr>
      <w:tr>
        <w:trPr/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4.</w:t>
            </w:r>
          </w:p>
        </w:tc>
        <w:tc>
          <w:tcPr>
            <w:tcW w:w="78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val="ru-RU" w:eastAsia="ru-RU" w:bidi="ar-SA"/>
              </w:rPr>
              <w:t xml:space="preserve">Приложение 1.3: </w:t>
            </w: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Конъюнктурный анализ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100" w:after="0"/>
              <w:jc w:val="center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10</w:t>
            </w:r>
          </w:p>
        </w:tc>
      </w:tr>
      <w:tr>
        <w:trPr/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5.</w:t>
            </w:r>
          </w:p>
        </w:tc>
        <w:tc>
          <w:tcPr>
            <w:tcW w:w="78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100" w:after="0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val="ru-RU" w:eastAsia="ru-RU" w:bidi="ar-SA"/>
              </w:rPr>
              <w:t xml:space="preserve">Приложение 1.4: </w:t>
            </w: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Образец расчета командировочных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100" w:after="0"/>
              <w:jc w:val="center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11</w:t>
            </w:r>
          </w:p>
        </w:tc>
      </w:tr>
    </w:tbl>
    <w:p>
      <w:pPr>
        <w:sectPr>
          <w:footerReference w:type="default" r:id="rId3"/>
          <w:footerReference w:type="first" r:id="rId4"/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jc w:val="right"/>
        <w:rPr>
          <w:rFonts w:ascii="Times New Roman" w:hAnsi="Times New Roman" w:eastAsia="Calibri"/>
        </w:rPr>
      </w:pPr>
      <w:r>
        <w:rPr>
          <w:rFonts w:eastAsia="Calibri" w:ascii="Times New Roman" w:hAnsi="Times New Roman"/>
        </w:rPr>
        <w:t xml:space="preserve">                                            </w:t>
      </w:r>
      <w:r>
        <w:br w:type="page"/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5811" w:hanging="10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Требования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 xml:space="preserve">к оформлению и составлению сметной документации на </w:t>
      </w:r>
      <w:r>
        <w:rPr>
          <w:rFonts w:cs="Times New Roman" w:ascii="Times New Roman" w:hAnsi="Times New Roman"/>
          <w:b/>
          <w:bCs/>
          <w:sz w:val="22"/>
          <w:szCs w:val="22"/>
        </w:rPr>
        <w:t>строительство и реконструкцию объектов капитального строительства</w:t>
      </w: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Style w:val="FootnoteReference"/>
          <w:rFonts w:cs="Times New Roman" w:ascii="Times New Roman" w:hAnsi="Times New Roman"/>
          <w:b/>
          <w:sz w:val="22"/>
          <w:szCs w:val="22"/>
        </w:rPr>
        <w:footnoteReference w:id="2"/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284" w:leader="none"/>
          <w:tab w:val="left" w:pos="851" w:leader="none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Настоящие требования разработаны для единого подхода к оформлению и составлению сметной документации на строительство и реконструкцию объектов капитального строительства, порядок определения стоимости которых регулируется Статьей 8.3 Градостроительного кодекса РФ.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284" w:leader="none"/>
          <w:tab w:val="left" w:pos="851" w:leader="none"/>
          <w:tab w:val="left" w:pos="1134" w:leader="none"/>
          <w:tab w:val="left" w:pos="1276" w:leader="none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Стоимость работ определяется на основании Сметы договора с учетом цены конструктивных решений (элементов), комплексов (видов) работ.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284" w:leader="none"/>
          <w:tab w:val="left" w:pos="851" w:leader="none"/>
          <w:tab w:val="left" w:pos="993" w:leader="none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Смета договора составляется в соответствии с условиями договора, на основании Рабочей документации и входящей в нее сметной документации, выданной Заказчиков «в производство работ», в следующем порядке: </w:t>
      </w:r>
    </w:p>
    <w:p>
      <w:pPr>
        <w:pStyle w:val="ListParagraph"/>
        <w:numPr>
          <w:ilvl w:val="1"/>
          <w:numId w:val="4"/>
        </w:numPr>
        <w:tabs>
          <w:tab w:val="clear" w:pos="709"/>
          <w:tab w:val="left" w:pos="993" w:leader="none"/>
          <w:tab w:val="left" w:pos="1134" w:leader="none"/>
        </w:tabs>
        <w:spacing w:lineRule="auto" w:line="252" w:before="0" w:after="16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Проводится экспертиза локальных смет (сметных расчетов) в составе утвержденной Заказчиком рабочей документации.</w:t>
      </w:r>
    </w:p>
    <w:p>
      <w:pPr>
        <w:pStyle w:val="ListParagraph"/>
        <w:numPr>
          <w:ilvl w:val="1"/>
          <w:numId w:val="4"/>
        </w:numPr>
        <w:tabs>
          <w:tab w:val="clear" w:pos="709"/>
          <w:tab w:val="left" w:pos="993" w:leader="none"/>
          <w:tab w:val="left" w:pos="1134" w:leader="none"/>
        </w:tabs>
        <w:spacing w:lineRule="auto" w:line="252" w:before="0" w:after="16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Составляется ведомость объемов технологически законченных элементов объекта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3"/>
      </w:r>
      <w:r>
        <w:rPr>
          <w:rFonts w:ascii="Times New Roman" w:hAnsi="Times New Roman"/>
          <w:sz w:val="24"/>
          <w:szCs w:val="24"/>
        </w:rPr>
        <w:t>, включающих определенные в соответствии с Рабочей документацией комплексы работ и затрат, необходимые для его возведения или устройства. Ведомость объемов конструктивных решений и комплексов работ (далее - Ведомость) предусматривает детализацию объекта капитального строительства по основным конструктивным решениям (элементам), комплексам (видам) работ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4"/>
      </w:r>
      <w:r>
        <w:rPr>
          <w:rFonts w:ascii="Times New Roman" w:hAnsi="Times New Roman"/>
          <w:sz w:val="24"/>
          <w:szCs w:val="24"/>
        </w:rPr>
        <w:t xml:space="preserve"> и определение объемов работ и единиц измерения конструктивных решений, комплексов работ. </w:t>
      </w:r>
    </w:p>
    <w:p>
      <w:pPr>
        <w:pStyle w:val="ListParagraph"/>
        <w:tabs>
          <w:tab w:val="clear" w:pos="709"/>
          <w:tab w:val="left" w:pos="993" w:leader="none"/>
          <w:tab w:val="left" w:pos="1134" w:leader="none"/>
        </w:tabs>
        <w:spacing w:lineRule="auto" w:line="252" w:before="0" w:after="16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если в конструктивном решении, комплексе работ сгруппированы разнородные работы и затраты, то для таких позиций принимается единица измерения комплекс, используемая для идентификации конструктивных и инженерных систем, по которым нецелесообразно или невозможно установить единицу измерения в натуральных показателях (система теплоснабжения, система водоснабжения, тепловой узел и другие), в случае если такое решение принято Заказчиком.</w:t>
      </w:r>
    </w:p>
    <w:p>
      <w:pPr>
        <w:pStyle w:val="ListParagraph"/>
        <w:tabs>
          <w:tab w:val="clear" w:pos="709"/>
          <w:tab w:val="left" w:pos="993" w:leader="none"/>
          <w:tab w:val="left" w:pos="1134" w:leader="none"/>
        </w:tabs>
        <w:spacing w:lineRule="auto" w:line="252" w:before="0" w:after="16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конструктивное решение или комплекс работ выполняются поэтапно, из общего объема сгруппированных в нем работ, в Ведомости могут быть выделены отдельные объемы работ, подлежащие выполнению на соответствующих этапах.</w:t>
      </w:r>
    </w:p>
    <w:p>
      <w:pPr>
        <w:pStyle w:val="ListParagraph"/>
        <w:tabs>
          <w:tab w:val="clear" w:pos="709"/>
          <w:tab w:val="left" w:pos="993" w:leader="none"/>
          <w:tab w:val="left" w:pos="1134" w:leader="none"/>
        </w:tabs>
        <w:spacing w:lineRule="auto" w:line="252" w:before="0" w:after="16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Отдельной строкой учитывается количество и стоимость оборудования, мебели, инвентаря (далее - оборудование), поставляемых в рамках договора, в случае если оборудование подлежит принятию к бухгалтерскому учету в качестве отдельного объекта основных средств. В иных случаях решение о выделении оборудования отдельной строкой принимается заказчиком. </w:t>
      </w:r>
    </w:p>
    <w:p>
      <w:pPr>
        <w:pStyle w:val="ListParagraph"/>
        <w:tabs>
          <w:tab w:val="clear" w:pos="709"/>
          <w:tab w:val="left" w:pos="993" w:leader="none"/>
          <w:tab w:val="left" w:pos="1134" w:leader="none"/>
        </w:tabs>
        <w:spacing w:lineRule="auto" w:line="252" w:before="0" w:after="16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Образец Ведомости объемов конструктивных решений и комплексов работ приведен в приложении № 1.2 к настоящей требованиям.</w:t>
      </w:r>
    </w:p>
    <w:p>
      <w:pPr>
        <w:pStyle w:val="ListParagraph"/>
        <w:numPr>
          <w:ilvl w:val="1"/>
          <w:numId w:val="4"/>
        </w:numPr>
        <w:tabs>
          <w:tab w:val="clear" w:pos="709"/>
          <w:tab w:val="left" w:pos="851" w:leader="none"/>
          <w:tab w:val="left" w:pos="993" w:leader="none"/>
          <w:tab w:val="left" w:pos="1134" w:leader="none"/>
          <w:tab w:val="left" w:pos="1276" w:leader="none"/>
        </w:tabs>
        <w:spacing w:lineRule="auto" w:line="252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Ведомости составляется Смета договора, содержащая наименования конструктивных решений (элементов), комплексов (видов) работ, их цены на принятую единицу измерения, и общую стоимость, определенную с учетом подлежащих выполнению объемов работ. Цена на принятую единицу каждого конструктивного решения (элемента), комплекса (вида) работ формируется на основании данных, принятых в сводном сметном расчете стоимости строительства, объектных и локальных сметах (сметных расчетах)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284" w:leader="none"/>
          <w:tab w:val="left" w:pos="851" w:leader="none"/>
          <w:tab w:val="left" w:pos="1134" w:leader="none"/>
          <w:tab w:val="left" w:pos="1276" w:leader="none"/>
        </w:tabs>
        <w:spacing w:lineRule="auto" w:line="259" w:before="0" w:after="16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составе цены конструктивных решений (элементов), комплексов (видов) работ учтены:</w:t>
      </w:r>
    </w:p>
    <w:p>
      <w:pPr>
        <w:pStyle w:val="ListParagraph"/>
        <w:numPr>
          <w:ilvl w:val="1"/>
          <w:numId w:val="4"/>
        </w:numPr>
        <w:tabs>
          <w:tab w:val="clear" w:pos="709"/>
          <w:tab w:val="left" w:pos="851" w:leader="none"/>
          <w:tab w:val="left" w:pos="993" w:leader="none"/>
          <w:tab w:val="left" w:pos="1134" w:leader="none"/>
          <w:tab w:val="left" w:pos="1276" w:leader="none"/>
        </w:tabs>
        <w:spacing w:lineRule="auto" w:line="252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прямые затраты, сформированные на основании сметных норм сметно-нормативной базы; </w:t>
      </w:r>
    </w:p>
    <w:p>
      <w:pPr>
        <w:pStyle w:val="ListParagraph"/>
        <w:numPr>
          <w:ilvl w:val="1"/>
          <w:numId w:val="4"/>
        </w:numPr>
        <w:tabs>
          <w:tab w:val="clear" w:pos="709"/>
          <w:tab w:val="left" w:pos="851" w:leader="none"/>
          <w:tab w:val="left" w:pos="993" w:leader="none"/>
          <w:tab w:val="left" w:pos="1134" w:leader="none"/>
          <w:tab w:val="left" w:pos="1276" w:leader="none"/>
        </w:tabs>
        <w:spacing w:lineRule="auto" w:line="252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накладные расходы, по видам строительных, ремонтно-строительных, монтажных и пусконаладочных работ на основании нормативных документов, внесенных в Федеральный реестр сметных нормативов;</w:t>
      </w:r>
    </w:p>
    <w:p>
      <w:pPr>
        <w:pStyle w:val="ListParagraph"/>
        <w:numPr>
          <w:ilvl w:val="1"/>
          <w:numId w:val="4"/>
        </w:numPr>
        <w:tabs>
          <w:tab w:val="clear" w:pos="709"/>
          <w:tab w:val="left" w:pos="851" w:leader="none"/>
          <w:tab w:val="left" w:pos="993" w:leader="none"/>
          <w:tab w:val="left" w:pos="1134" w:leader="none"/>
          <w:tab w:val="left" w:pos="1276" w:leader="none"/>
        </w:tabs>
        <w:spacing w:lineRule="auto" w:line="252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сметная прибыль, по видам строительных, ремонтно-строительных, монтажных и пусконаладочных работ на основании нормативных документов, внесенных в Федеральный реестр сметных нормативов;</w:t>
      </w:r>
    </w:p>
    <w:p>
      <w:pPr>
        <w:pStyle w:val="ListParagraph"/>
        <w:numPr>
          <w:ilvl w:val="1"/>
          <w:numId w:val="4"/>
        </w:numPr>
        <w:tabs>
          <w:tab w:val="clear" w:pos="709"/>
          <w:tab w:val="left" w:pos="851" w:leader="none"/>
          <w:tab w:val="left" w:pos="993" w:leader="none"/>
          <w:tab w:val="left" w:pos="1134" w:leader="none"/>
          <w:tab w:val="left" w:pos="1276" w:leader="none"/>
        </w:tabs>
        <w:spacing w:lineRule="auto" w:line="252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оборудования поставки подрядчика (если оборудование не будет выделено отдельной строкой в проекте сметы договора). </w:t>
      </w:r>
    </w:p>
    <w:p>
      <w:pPr>
        <w:pStyle w:val="ListParagraph"/>
        <w:tabs>
          <w:tab w:val="clear" w:pos="709"/>
          <w:tab w:val="left" w:pos="851" w:leader="none"/>
          <w:tab w:val="left" w:pos="993" w:leader="none"/>
          <w:tab w:val="left" w:pos="1134" w:leader="none"/>
          <w:tab w:val="left" w:pos="1276" w:leader="none"/>
        </w:tabs>
        <w:spacing w:lineRule="auto" w:line="252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оборудования и ЗИП, учтенная в составе цены комплекса работ при необходимости приемки по ТОРГ-12 выделяется в отдельную спецификацию и приводится в Смете договора отдельной строкой с указанием наименования единицы измерения комплект;</w:t>
      </w:r>
    </w:p>
    <w:p>
      <w:pPr>
        <w:pStyle w:val="ListParagraph"/>
        <w:numPr>
          <w:ilvl w:val="1"/>
          <w:numId w:val="4"/>
        </w:numPr>
        <w:tabs>
          <w:tab w:val="clear" w:pos="709"/>
          <w:tab w:val="left" w:pos="851" w:leader="none"/>
          <w:tab w:val="left" w:pos="993" w:leader="none"/>
          <w:tab w:val="left" w:pos="1134" w:leader="none"/>
          <w:tab w:val="left" w:pos="1276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пусконаладочных работ (если пусконаладочные работы не выделены в отдельную строку с наименованием единицы измерения комплекс); </w:t>
      </w:r>
    </w:p>
    <w:p>
      <w:pPr>
        <w:pStyle w:val="ListParagraph"/>
        <w:numPr>
          <w:ilvl w:val="1"/>
          <w:numId w:val="4"/>
        </w:numPr>
        <w:tabs>
          <w:tab w:val="clear" w:pos="709"/>
          <w:tab w:val="left" w:pos="851" w:leader="none"/>
          <w:tab w:val="left" w:pos="993" w:leader="none"/>
          <w:tab w:val="left" w:pos="1134" w:leader="none"/>
          <w:tab w:val="left" w:pos="1276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затраты на командировочные расходы; </w:t>
      </w:r>
    </w:p>
    <w:p>
      <w:pPr>
        <w:pStyle w:val="ListParagraph"/>
        <w:numPr>
          <w:ilvl w:val="1"/>
          <w:numId w:val="4"/>
        </w:numPr>
        <w:tabs>
          <w:tab w:val="clear" w:pos="709"/>
          <w:tab w:val="left" w:pos="851" w:leader="none"/>
          <w:tab w:val="left" w:pos="993" w:leader="none"/>
          <w:tab w:val="left" w:pos="1134" w:leader="none"/>
          <w:tab w:val="left" w:pos="1276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иные прочие работы и затраты.</w:t>
      </w:r>
    </w:p>
    <w:p>
      <w:pPr>
        <w:pStyle w:val="Normal"/>
        <w:tabs>
          <w:tab w:val="clear" w:pos="709"/>
          <w:tab w:val="left" w:pos="851" w:leader="none"/>
          <w:tab w:val="left" w:pos="993" w:leader="none"/>
          <w:tab w:val="left" w:pos="1134" w:leader="none"/>
          <w:tab w:val="left" w:pos="1276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Образец сметы договора приведен в приложении № 1.1 </w:t>
      </w:r>
    </w:p>
    <w:p>
      <w:pPr>
        <w:sectPr>
          <w:footerReference w:type="default" r:id="rId5"/>
          <w:footerReference w:type="first" r:id="rId6"/>
          <w:footnotePr>
            <w:numFmt w:val="decimal"/>
            <w:numRestart w:val="eachPage"/>
          </w:footnotePr>
          <w:type w:val="nextPage"/>
          <w:pgSz w:w="11906" w:h="16838"/>
          <w:pgMar w:left="1276" w:right="707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Web"/>
        <w:tabs>
          <w:tab w:val="clear" w:pos="709"/>
          <w:tab w:val="left" w:pos="1134" w:leader="none"/>
          <w:tab w:val="left" w:pos="1276" w:leader="none"/>
        </w:tabs>
        <w:spacing w:before="0" w:after="0"/>
        <w:jc w:val="both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>В случае внесения изменений в рабочую документацию в связи с включением в нее ранее непредусмотренных такой документацией видов работ и (или) затрат, а также если в конструктивном решении (элементе), комплексе (виде) работ сгруппированы разнородные работы и затраты, то цена таких работ, затрат определяется с использованием соответствующих сметных нормативов и сметных цен, а также методических и других документов в сфере ценообразования и сметного нормирования с учетом затрат, включенных в состав цены конструктивных решений (элементов), комплексов (видов) работ.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  <w:tab w:val="left" w:pos="1134" w:leader="none"/>
        </w:tabs>
        <w:spacing w:lineRule="auto" w:line="240" w:before="0" w:after="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составлению сметной документации в составе рабочей документации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u w:val="single"/>
        </w:rPr>
        <w:t>не допускается</w:t>
      </w:r>
      <w:r>
        <w:rPr>
          <w:rFonts w:ascii="Times New Roman" w:hAnsi="Times New Roman"/>
        </w:rPr>
        <w:t>, кроме случаев, прямо указанных в настоящих требованиях.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0"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/>
          <w:u w:val="single"/>
        </w:rPr>
        <w:t>должна быть не ниже 2021</w:t>
      </w:r>
      <w:r>
        <w:rPr>
          <w:rFonts w:ascii="Times New Roman" w:hAnsi="Times New Roman"/>
        </w:rPr>
        <w:t>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</w:t>
      </w:r>
      <w:r>
        <w:rPr>
          <w:rFonts w:ascii="Times New Roman" w:hAnsi="Times New Roman"/>
          <w:b/>
          <w:u w:val="single"/>
        </w:rPr>
        <w:t>с учетом изменений и дополнений</w:t>
      </w:r>
      <w:r>
        <w:rPr>
          <w:rFonts w:ascii="Times New Roman" w:hAnsi="Times New Roman"/>
        </w:rPr>
        <w:t>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составлении сметной документации необходимо использовать сметно-нормативную базу ФЕР-2020 (с Изм. 1-9) с КСР по приказу № 969/пр от 17.11.2022. 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0"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Определение сметной стоимости работ использовать базисно-индексный метод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</w:t>
      </w:r>
      <w:r>
        <w:rPr>
          <w:rFonts w:ascii="Times New Roman" w:hAnsi="Times New Roman"/>
          <w:b/>
        </w:rPr>
        <w:t>в двух уровнях цен: базисном и текущем.</w:t>
      </w:r>
    </w:p>
    <w:p>
      <w:pPr>
        <w:pStyle w:val="ConsPlusNormal1"/>
        <w:widowControl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  <w:tab w:val="left" w:pos="1844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При определении сметной стоимости </w:t>
      </w:r>
      <w:r>
        <w:rPr>
          <w:rFonts w:ascii="Times New Roman" w:hAnsi="Times New Roman"/>
          <w:b/>
          <w:sz w:val="22"/>
          <w:szCs w:val="22"/>
        </w:rPr>
        <w:t>базисно-индексным</w:t>
      </w:r>
      <w:r>
        <w:rPr>
          <w:rFonts w:ascii="Times New Roman" w:hAnsi="Times New Roman"/>
          <w:sz w:val="22"/>
          <w:szCs w:val="22"/>
        </w:rPr>
        <w:t xml:space="preserve"> методом </w:t>
      </w:r>
      <w:r>
        <w:rPr>
          <w:rFonts w:cs="Times New Roman" w:ascii="Times New Roman" w:hAnsi="Times New Roman"/>
          <w:sz w:val="22"/>
          <w:szCs w:val="22"/>
        </w:rPr>
        <w:t>применять индексы пересчета в текущие цены, выпускаемые ежеквартально Министерством строительства и ЖКХ РФ на Прочие объекты по Чеченской Республике актуальные на середину срока производства работ.</w:t>
      </w:r>
    </w:p>
    <w:p>
      <w:pPr>
        <w:pStyle w:val="Normal"/>
        <w:numPr>
          <w:ilvl w:val="0"/>
          <w:numId w:val="4"/>
        </w:numPr>
        <w:tabs>
          <w:tab w:val="left" w:pos="284" w:leader="none"/>
          <w:tab w:val="left" w:pos="426" w:leader="none"/>
          <w:tab w:val="left" w:pos="709" w:leader="none"/>
          <w:tab w:val="left" w:pos="993" w:leader="none"/>
        </w:tabs>
        <w:spacing w:lineRule="auto" w:line="240" w:before="0" w:after="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При отсутствии индексов пересчета в текущие цены на середину срока производства работ, стоимость работ определяется с применением текущих индексов, выпускаемых ежеквартально Министерством строительства и ЖКХ РФ на Прочие объекты по Чеченской Республике и прогнозных индексов -дефляторов  в соответствии с прогнозом Министерства экономического развития РФ (прогноз «базовый», определенные в установленном порядке для Заказчика) на середину срока производства работ. 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При отсутствии в ФГИС ЦС данных о сметных ценах в базисном или в текущем уровне цен на отдельные материальные ресурсы и оборудование допускается определение их сметной стоимости по наиболее экономичному варианту, определенному на основании конъюнктурного анализа (по форме приложения 1.3.) по наиболее экономичному варианту.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Транспортные затраты определяются следующими методами: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40" w:after="4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15.1. </w:t>
      </w:r>
      <w:r>
        <w:rPr>
          <w:rFonts w:ascii="Times New Roman" w:hAnsi="Times New Roman"/>
          <w:b/>
        </w:rPr>
        <w:t>по доставке материальных ресурсов</w:t>
      </w:r>
      <w:r>
        <w:rPr>
          <w:rFonts w:ascii="Times New Roman" w:hAnsi="Times New Roman"/>
        </w:rPr>
        <w:t xml:space="preserve"> 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Normal"/>
        <w:numPr>
          <w:ilvl w:val="0"/>
          <w:numId w:val="7"/>
        </w:numPr>
        <w:tabs>
          <w:tab w:val="clear" w:pos="709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основании конъюнктурного анализа (по форме приложения 1.3.) по наиболее экономичному варианту.</w:t>
      </w:r>
    </w:p>
    <w:p>
      <w:pPr>
        <w:pStyle w:val="Normal"/>
        <w:widowControl w:val="false"/>
        <w:tabs>
          <w:tab w:val="clear" w:pos="709"/>
          <w:tab w:val="left" w:pos="1134" w:leader="none"/>
        </w:tabs>
        <w:spacing w:lineRule="auto" w:line="240" w:before="40" w:after="4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15.2.</w:t>
      </w:r>
      <w:r>
        <w:rPr>
          <w:rFonts w:cs="Arial"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</w:rPr>
        <w:t>по доставке оборудования</w:t>
      </w:r>
      <w:r>
        <w:rPr>
          <w:rFonts w:ascii="Times New Roman" w:hAnsi="Times New Roman"/>
        </w:rPr>
        <w:t>:</w:t>
      </w:r>
    </w:p>
    <w:p>
      <w:pPr>
        <w:pStyle w:val="Normal"/>
        <w:numPr>
          <w:ilvl w:val="0"/>
          <w:numId w:val="7"/>
        </w:numPr>
        <w:tabs>
          <w:tab w:val="clear" w:pos="709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Normal"/>
        <w:numPr>
          <w:ilvl w:val="0"/>
          <w:numId w:val="7"/>
        </w:numPr>
        <w:tabs>
          <w:tab w:val="clear" w:pos="709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основании конъюнктурного анализа (по форме приложения 1.3.) по наиболее экономичному варианту;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</w:p>
    <w:p>
      <w:pPr>
        <w:pStyle w:val="Normal"/>
        <w:widowControl w:val="false"/>
        <w:tabs>
          <w:tab w:val="clear" w:pos="709"/>
          <w:tab w:val="left" w:pos="567" w:leader="none"/>
          <w:tab w:val="left" w:pos="993" w:leader="none"/>
        </w:tabs>
        <w:spacing w:lineRule="auto" w:line="240" w:before="40" w:after="40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9"/>
          <w:tab w:val="left" w:pos="567" w:leader="none"/>
          <w:tab w:val="left" w:pos="993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9"/>
          <w:tab w:val="left" w:pos="567" w:leader="none"/>
          <w:tab w:val="left" w:pos="993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2% - для материальных ресурсов (кроме металлоконструкций);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9"/>
          <w:tab w:val="left" w:pos="567" w:leader="none"/>
          <w:tab w:val="left" w:pos="993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0,75% - для металлоконструкций;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9"/>
          <w:tab w:val="left" w:pos="567" w:leader="none"/>
          <w:tab w:val="left" w:pos="993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1,2% - для оборудования.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567" w:leader="none"/>
          <w:tab w:val="left" w:pos="993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567" w:leader="none"/>
          <w:tab w:val="left" w:pos="993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567" w:leader="none"/>
          <w:tab w:val="left" w:pos="993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ascii="Times New Roman" w:hAnsi="Times New Roman"/>
          <w:color w:val="000000"/>
        </w:rPr>
        <w:t>применении коэффициенты перемножаются, результат округляется до семи знаков после запятой. Коэффициенты, учитывающие усложняющие факторы и условия производства работ применяются при обосновании в проекте организации строительства (ПОС).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567" w:leader="none"/>
          <w:tab w:val="left" w:pos="993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Затраты на возведение временных зданий и сооружений учитывать в том случае, если они указаны в ПОС, ТТ.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-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567" w:leader="none"/>
          <w:tab w:val="left" w:pos="993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567" w:leader="none"/>
          <w:tab w:val="left" w:pos="993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567" w:leader="none"/>
          <w:tab w:val="left" w:pos="993" w:leader="none"/>
          <w:tab w:val="left" w:pos="1272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определяется в соответствии с законодательством РФ и с учетом норм, определяемых внутренним документом организации. 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Лимиты командировочных расходов при производстве СМР и ПНР по статьям затрат следующие: суточные – 700 руб./сутки; проживание – 500 руб./сутки; проезд: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tabs>
          <w:tab w:val="clear" w:pos="709"/>
          <w:tab w:val="left" w:pos="567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/>
        </w:rPr>
        <w:t>на основании конъюнктурного анализа (по форме приложения 1.3.) по наиболее экономичному варианту</w:t>
      </w:r>
      <w:r>
        <w:rPr>
          <w:rFonts w:eastAsia="Calibri" w:ascii="Times New Roman" w:hAnsi="Times New Roman"/>
          <w:lang w:eastAsia="en-US"/>
        </w:rPr>
        <w:t>.</w:t>
      </w:r>
    </w:p>
    <w:p>
      <w:pPr>
        <w:pStyle w:val="ListParagraph"/>
        <w:tabs>
          <w:tab w:val="clear" w:pos="709"/>
          <w:tab w:val="left" w:pos="567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наличии командировочных расходов необходимо составлять общий реестр (по форме приложения 1.4.) стоимости проездных билетов с разбивкой по сметам, к которым они относятся.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567" w:leader="none"/>
          <w:tab w:val="left" w:pos="993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b/>
          <w:u w:val="single"/>
        </w:rPr>
      </w:pPr>
      <w:bookmarkStart w:id="2" w:name="_Ref19086149"/>
      <w:r>
        <w:rPr>
          <w:rFonts w:ascii="Times New Roman" w:hAnsi="Times New Roman"/>
        </w:rPr>
        <w:t xml:space="preserve">В локальных сметных расчетах построчные и итоговые суммы </w:t>
      </w:r>
      <w:r>
        <w:rPr>
          <w:rFonts w:ascii="Times New Roman" w:hAnsi="Times New Roman"/>
          <w:b/>
          <w:u w:val="single"/>
        </w:rPr>
        <w:t>округлять:</w:t>
      </w:r>
      <w:bookmarkEnd w:id="2"/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базисно-индексном методе до </w:t>
      </w:r>
      <w:r>
        <w:rPr>
          <w:rFonts w:ascii="Times New Roman" w:hAnsi="Times New Roman"/>
          <w:b/>
        </w:rPr>
        <w:t>двух знаков</w:t>
      </w:r>
      <w:r>
        <w:rPr>
          <w:rFonts w:ascii="Times New Roman" w:hAnsi="Times New Roman"/>
        </w:rPr>
        <w:t xml:space="preserve"> после запятой (до копеек);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426" w:leader="none"/>
          <w:tab w:val="left" w:pos="993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Сметная документация должна быть представлена в двух вариантах: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сметная документация в формате «Exce</w:t>
      </w:r>
      <w:r>
        <w:rPr>
          <w:rFonts w:ascii="Times New Roman" w:hAnsi="Times New Roman"/>
          <w:lang w:val="en-US"/>
        </w:rPr>
        <w:t>l</w:t>
      </w:r>
      <w:r>
        <w:rPr>
          <w:rFonts w:ascii="Times New Roman" w:hAnsi="Times New Roman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формате ПК «Гранд-смета» выходная форма для печати указана ниже: </w:t>
      </w:r>
    </w:p>
    <w:p>
      <w:pPr>
        <w:pStyle w:val="Normal"/>
        <w:spacing w:lineRule="auto" w:line="240" w:before="0" w:after="0"/>
        <w:ind w:left="567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67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67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67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67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left="6946"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left="6946"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Приложение № 1.1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both"/>
        <w:rPr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Образец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both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Смета договора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Приложениями</w:t>
      </w:r>
    </w:p>
    <w:p>
      <w:pPr>
        <w:pStyle w:val="Normal"/>
        <w:pBdr>
          <w:bottom w:val="single" w:sz="12" w:space="1" w:color="000000"/>
        </w:pBdr>
        <w:tabs>
          <w:tab w:val="clear" w:pos="709"/>
          <w:tab w:val="left" w:pos="1134" w:leader="none"/>
        </w:tabs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объекта)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tbl>
      <w:tblPr>
        <w:tblW w:w="10065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79"/>
        <w:gridCol w:w="3431"/>
        <w:gridCol w:w="1292"/>
        <w:gridCol w:w="1427"/>
        <w:gridCol w:w="1675"/>
        <w:gridCol w:w="1560"/>
      </w:tblGrid>
      <w:tr>
        <w:trPr>
          <w:trHeight w:val="870" w:hRule="atLeast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конструктивных решений (элементов), комплексов (видов) работ, оборудования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(объем работ)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Цена за единицу измерения, руб.  без НДС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Стоимость всего, руб.</w:t>
            </w:r>
          </w:p>
        </w:tc>
      </w:tr>
      <w:tr>
        <w:trPr>
          <w:trHeight w:val="420" w:hRule="atLeast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>
        <w:trPr>
          <w:trHeight w:val="540" w:hRule="atLeast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540" w:hRule="atLeast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510" w:hRule="atLeast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313" w:hRule="atLeast"/>
        </w:trPr>
        <w:tc>
          <w:tcPr>
            <w:tcW w:w="85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по смете договора, руб. без НДС: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/>
          <w:b/>
          <w:sz w:val="24"/>
          <w:szCs w:val="24"/>
        </w:rPr>
        <w:t xml:space="preserve">Заказчик:                                                                       Подрядчик:                  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left="6804" w:firstLine="72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1.2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Образец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left="6804"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left="6804"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left="6804"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Ведомость объемов конструктивных решений (элементов) и комплексов (видов) работ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pBdr>
          <w:bottom w:val="single" w:sz="12" w:space="1" w:color="000000"/>
        </w:pBdr>
        <w:tabs>
          <w:tab w:val="clear" w:pos="709"/>
          <w:tab w:val="left" w:pos="1134" w:leader="none"/>
        </w:tabs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объекта)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tbl>
      <w:tblPr>
        <w:tblW w:w="9923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990"/>
        <w:gridCol w:w="3262"/>
        <w:gridCol w:w="2411"/>
        <w:gridCol w:w="1395"/>
        <w:gridCol w:w="1865"/>
      </w:tblGrid>
      <w:tr>
        <w:trPr>
          <w:trHeight w:val="615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Номера сметных расчетов (смет) и позиций в сметных расчетах (сметах), относящихся к соответствующим конструктивным решениям (элементам)), комплексам (видам) работ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35" w:leader="none"/>
                <w:tab w:val="left" w:pos="1134" w:leader="none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35" w:leader="none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конструктивных решений (элементов) комплексов (видов) работ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(объем работ)</w:t>
            </w:r>
          </w:p>
        </w:tc>
      </w:tr>
      <w:tr>
        <w:trPr>
          <w:trHeight w:val="285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rPr>
          <w:trHeight w:val="450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05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65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20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20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134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ectPr>
          <w:footerReference w:type="default" r:id="rId7"/>
          <w:footerReference w:type="first" r:id="rId8"/>
          <w:footnotePr>
            <w:numFmt w:val="decimal"/>
            <w:numRestart w:val="eachPage"/>
          </w:footnotePr>
          <w:type w:val="nextPage"/>
          <w:pgSz w:w="11906" w:h="16838"/>
          <w:pgMar w:left="1276" w:right="707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Проверил: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1.3.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5414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10"/>
        <w:gridCol w:w="1272"/>
        <w:gridCol w:w="1184"/>
        <w:gridCol w:w="1305"/>
        <w:gridCol w:w="1475"/>
        <w:gridCol w:w="1475"/>
        <w:gridCol w:w="1475"/>
        <w:gridCol w:w="1480"/>
        <w:gridCol w:w="1475"/>
        <w:gridCol w:w="1474"/>
        <w:gridCol w:w="2087"/>
      </w:tblGrid>
      <w:tr>
        <w:trPr>
          <w:trHeight w:val="315" w:hRule="exact"/>
        </w:trPr>
        <w:tc>
          <w:tcPr>
            <w:tcW w:w="71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8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7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7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7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8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7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548" w:hRule="atLeast"/>
        </w:trPr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2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продукции</w:t>
            </w:r>
          </w:p>
        </w:tc>
        <w:tc>
          <w:tcPr>
            <w:tcW w:w="11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изменения</w:t>
            </w:r>
          </w:p>
        </w:tc>
        <w:tc>
          <w:tcPr>
            <w:tcW w:w="13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Требуемое количество</w:t>
            </w:r>
          </w:p>
        </w:tc>
        <w:tc>
          <w:tcPr>
            <w:tcW w:w="88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Конъюнктурный анализ</w:t>
            </w:r>
          </w:p>
        </w:tc>
        <w:tc>
          <w:tcPr>
            <w:tcW w:w="2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Наиболее экономичный вариант, в тыс. руб. без НДС</w:t>
            </w:r>
          </w:p>
        </w:tc>
      </w:tr>
      <w:tr>
        <w:trPr>
          <w:trHeight w:val="619" w:hRule="atLeast"/>
        </w:trPr>
        <w:tc>
          <w:tcPr>
            <w:tcW w:w="710" w:type="dxa"/>
            <w:vMerge w:val="continue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72" w:type="dxa"/>
            <w:vMerge w:val="continue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84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0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ИЦИ-1</w:t>
            </w:r>
          </w:p>
        </w:tc>
        <w:tc>
          <w:tcPr>
            <w:tcW w:w="2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ИЦИ-2</w:t>
            </w:r>
          </w:p>
        </w:tc>
        <w:tc>
          <w:tcPr>
            <w:tcW w:w="2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ИЦИ-N</w:t>
            </w:r>
          </w:p>
        </w:tc>
        <w:tc>
          <w:tcPr>
            <w:tcW w:w="20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1735" w:hRule="atLeast"/>
        </w:trPr>
        <w:tc>
          <w:tcPr>
            <w:tcW w:w="710" w:type="dxa"/>
            <w:vMerge w:val="continue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72" w:type="dxa"/>
            <w:vMerge w:val="continue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84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0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ИЦИ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Стоимость продукции (за ед.) с учетом ценообразующих факторов, тыс. руб. без НДС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ИЦИ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Стоимость продукции (за ед.) с учетом ценообразующих факторов, тыс. руб. без НДС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ИЦИ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Стоимость продукции (за ед.) с учетом ценообразующих факторов, тыс. руб. без НДС</w:t>
            </w:r>
          </w:p>
        </w:tc>
        <w:tc>
          <w:tcPr>
            <w:tcW w:w="20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4" w:space="0" w:color="222B35"/>
              <w:bottom w:val="single" w:sz="4" w:space="0" w:color="000000"/>
              <w:right w:val="single" w:sz="4" w:space="0" w:color="222B35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05" w:type="dxa"/>
            <w:tcBorders>
              <w:left w:val="single" w:sz="4" w:space="0" w:color="222B35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>
        <w:trPr>
          <w:trHeight w:val="330" w:hRule="atLeast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</w:tbl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ectPr>
          <w:footerReference w:type="default" r:id="rId9"/>
          <w:footerReference w:type="first" r:id="rId10"/>
          <w:footnotePr>
            <w:numFmt w:val="decimal"/>
            <w:numRestart w:val="eachPage"/>
          </w:footnotePr>
          <w:type w:val="nextPage"/>
          <w:pgSz w:orient="landscape" w:w="16838" w:h="11906"/>
          <w:pgMar w:left="426" w:right="851" w:gutter="0" w:header="0" w:top="1276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1134" w:leader="none"/>
        </w:tabs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ИЦИ – источник ценовой информации о стоимости строительных ресурсов.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1.4.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расчета командировочных расходов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236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55"/>
        <w:gridCol w:w="136"/>
        <w:gridCol w:w="997"/>
        <w:gridCol w:w="704"/>
        <w:gridCol w:w="1286"/>
        <w:gridCol w:w="703"/>
        <w:gridCol w:w="1443"/>
        <w:gridCol w:w="1314"/>
        <w:gridCol w:w="929"/>
        <w:gridCol w:w="1134"/>
        <w:gridCol w:w="1134"/>
      </w:tblGrid>
      <w:tr>
        <w:trPr/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транспорта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проживания, руб./сут.. </w:t>
              <w:br/>
              <w:t>(без НДС)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>
        <w:trPr/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7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>
        <w:trPr/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ConsPlusNormal1"/>
        <w:tabs>
          <w:tab w:val="clear" w:pos="709"/>
          <w:tab w:val="left" w:pos="284" w:leader="none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ПОДПИСИ СТОРОН: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tbl>
      <w:tblPr>
        <w:tblW w:w="963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4932"/>
        <w:gridCol w:w="4698"/>
      </w:tblGrid>
      <w:tr>
        <w:trPr>
          <w:trHeight w:val="269" w:hRule="atLeast"/>
        </w:trPr>
        <w:tc>
          <w:tcPr>
            <w:tcW w:w="493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9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</w:tc>
      </w:tr>
      <w:tr>
        <w:trPr>
          <w:trHeight w:val="269" w:hRule="atLeast"/>
        </w:trPr>
        <w:tc>
          <w:tcPr>
            <w:tcW w:w="493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/>
            </w:r>
          </w:p>
        </w:tc>
        <w:tc>
          <w:tcPr>
            <w:tcW w:w="469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/>
            </w:r>
          </w:p>
        </w:tc>
      </w:tr>
      <w:tr>
        <w:trPr>
          <w:trHeight w:val="269" w:hRule="atLeast"/>
        </w:trPr>
        <w:tc>
          <w:tcPr>
            <w:tcW w:w="493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/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469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>
      <w:pPr>
        <w:pStyle w:val="Normal"/>
        <w:spacing w:lineRule="auto" w:line="240" w:before="0" w:after="0"/>
        <w:ind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1"/>
        <w:tabs>
          <w:tab w:val="clear" w:pos="709"/>
          <w:tab w:val="left" w:pos="284" w:leader="none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>
        <w:rPr/>
      </w:r>
    </w:p>
    <w:sectPr>
      <w:footerReference w:type="default" r:id="rId11"/>
      <w:footerReference w:type="first" r:id="rId12"/>
      <w:footnotePr>
        <w:numFmt w:val="decimal"/>
        <w:numRestart w:val="eachPage"/>
      </w:footnotePr>
      <w:type w:val="nextPage"/>
      <w:pgSz w:w="11906" w:h="16838"/>
      <w:pgMar w:left="1276" w:right="766" w:gutter="0" w:header="0" w:top="851" w:footer="709" w:bottom="7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69134610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  <w:p>
    <w:pPr>
      <w:pStyle w:val="Footer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6684516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  <w:p>
    <w:pPr>
      <w:pStyle w:val="Footer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  <w:p>
    <w:pPr>
      <w:pStyle w:val="Footer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Закупки, на которые распространяются требования Градостроительного кодекса, Статья 8.3, пункт 1 «При этом сметные нормативы и сметные цены строительных ресурсов, использованные при определении сметной стоимости строительства, не подлежат применению при исполнении указанных контрактов или договоров».</w:t>
      </w:r>
    </w:p>
  </w:footnote>
  <w:footnote w:id="3">
    <w:p>
      <w:pPr>
        <w:pStyle w:val="FootnoteText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Ведомость составляется Заказчиком, либо лицом, осуществляющим подготовку Рабочей документации, при условии, что составление соответствующей Ведомости, учтено в задании на проектирование.</w:t>
      </w:r>
    </w:p>
  </w:footnote>
  <w:footnote w:id="4">
    <w:p>
      <w:pPr>
        <w:pStyle w:val="FootnoteText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Детализация (группировка) конструктивных решений, комплексов работ осуществляется таким образом, чтобы было возможно однозначно идентифицировать начало, окончание и содержание работ для удобства их приемки и оплаты в ходе реализации договора в соответствии с графиком выполнения подрядных работ.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center"/>
      <w:pPr>
        <w:tabs>
          <w:tab w:val="num" w:pos="1556"/>
        </w:tabs>
        <w:ind w:left="1556" w:hanging="279"/>
      </w:pPr>
      <w:rPr>
        <w:sz w:val="22"/>
        <w:i w:val="false"/>
        <w:u w:val="none"/>
        <w:b w:val="false"/>
        <w:szCs w:val="22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  <w:b w:val="fals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revisionView w:insDel="0" w:formatting="0"/>
  <w:defaultTabStop w:val="709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 w:customStyle="1">
    <w:name w:val="Символ сноски"/>
    <w:uiPriority w:val="99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4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1">
    <w:name w:val="line number1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8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7" w:customStyle="1">
    <w:name w:val="Символ нумерации"/>
    <w:qFormat/>
    <w:rPr/>
  </w:style>
  <w:style w:type="character" w:styleId="LineNumber">
    <w:name w:val="Line Number"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ListParagraph">
    <w:name w:val="List Paragraph"/>
    <w:basedOn w:val="Normal"/>
    <w:link w:val="Style13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0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1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2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3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4" w:customStyle="1">
    <w:name w:val="Подпункт"/>
    <w:basedOn w:val="Style23"/>
    <w:link w:val="1"/>
    <w:qFormat/>
    <w:rsid w:val="00b5006b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5" w:customStyle="1">
    <w:name w:val="Подподпункт"/>
    <w:basedOn w:val="Style24"/>
    <w:qFormat/>
    <w:rsid w:val="00b5006b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6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7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8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9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1111" w:customStyle="1">
    <w:name w:val="caption1111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30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1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2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3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Style33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4" w:customStyle="1">
    <w:name w:val="Заголовок таблицы"/>
    <w:basedOn w:val="Style33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23" w:customStyle="1">
    <w:name w:val="Нумерованный 123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6">
    <w:name w:val="Table Grid"/>
    <w:basedOn w:val="a5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notes" Target="footnotes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<Relationship Id="rId1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3D3EA-7540-4A48-8806-0EE93DBD3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AlterOffice/3.4.0.9$Linux_X86_64 LibreOffice_project/b8daf9e823b1a5463a2f48435ddc2e8696e7d4fc</Application>
  <AppVersion>15.0000</AppVersion>
  <Pages>10</Pages>
  <Words>2110</Words>
  <Characters>14226</Characters>
  <CharactersWithSpaces>16292</CharactersWithSpaces>
  <Paragraphs>223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2025-10-10T11:07:00Z</dcterms:created>
  <dc:creator>Торопов Денис Владимирович</dc:creator>
  <dc:description/>
  <dc:language>ru-RU</dc:language>
  <cp:lastModifiedBy>Диана Исуфовна Аркелова</cp:lastModifiedBy>
  <cp:lastPrinted>2021-07-09T09:18:00Z</cp:lastPrinted>
  <dcterms:modified xsi:type="dcterms:W3CDTF">2026-09-08T15:33:20Z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